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0" w:name="Xcc4bdc5596106d131900a45089bde4ee0ff4505"/>
    <w:p>
      <w:pPr>
        <w:pStyle w:val="Heading2"/>
      </w:pPr>
      <w:r>
        <w:t xml:space="preserve">Ata da Reunião com o Cliente – Revisão de Resultados</w:t>
      </w:r>
    </w:p>
    <w:p>
      <w:pPr>
        <w:pStyle w:val="FirstParagraph"/>
      </w:pPr>
      <w:r>
        <w:rPr>
          <w:b/>
          <w:bCs/>
        </w:rPr>
        <w:t xml:space="preserve">Processo:</w:t>
      </w:r>
      <w:r>
        <w:t xml:space="preserve"> </w:t>
      </w:r>
      <w:r>
        <w:t xml:space="preserve">1234/24.5T8LSB – Processo Especial de Despejo – Arrendamento Comercial – Falta de Pagamento e Caducidade Contratual</w:t>
      </w:r>
      <w:r>
        <w:br/>
      </w:r>
      <w:r>
        <w:rPr>
          <w:b/>
          <w:bCs/>
        </w:rPr>
        <w:t xml:space="preserve">Autor/Requerente:</w:t>
      </w:r>
      <w:r>
        <w:t xml:space="preserve"> </w:t>
      </w:r>
      <w:r>
        <w:rPr>
          <w:b/>
          <w:bCs/>
        </w:rPr>
        <w:t xml:space="preserve">Empresa de Arrendamento Comercial, Lda.</w:t>
      </w:r>
      <w:r>
        <w:t xml:space="preserve">, NIF 508 123 456, sede em Rua da Boavista, nº 45, 5.º andar, 1050‑067 Lisboa.</w:t>
      </w:r>
      <w:r>
        <w:br/>
      </w:r>
      <w:r>
        <w:rPr>
          <w:b/>
          <w:bCs/>
        </w:rPr>
        <w:t xml:space="preserve">Réu/Requerido:</w:t>
      </w:r>
      <w:r>
        <w:t xml:space="preserve"> </w:t>
      </w:r>
      <w:r>
        <w:t xml:space="preserve">Sr. João da Silva, NIF 225 987 321, residente em Avenida da República, nº 220, 3.º Dto, 4200‑150 Porto.</w:t>
      </w:r>
    </w:p>
    <w:p>
      <w:r>
        <w:pict>
          <v:rect style="width:0;height:1.5pt" o:hralign="center" o:hrstd="t" o:hr="t"/>
        </w:pict>
      </w:r>
    </w:p>
    <w:bookmarkStart w:id="9" w:name="identificação-da-reunião"/>
    <w:p>
      <w:pPr>
        <w:pStyle w:val="Heading3"/>
      </w:pPr>
      <w:r>
        <w:t xml:space="preserve">1. Identificação da Reunião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Data</w:t>
            </w:r>
          </w:p>
        </w:tc>
        <w:tc>
          <w:tcPr/>
          <w:p>
            <w:pPr>
              <w:pStyle w:val="Compact"/>
            </w:pPr>
            <w:r>
              <w:t xml:space="preserve">12 de fevereiro de 2026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Hora de início</w:t>
            </w:r>
          </w:p>
        </w:tc>
        <w:tc>
          <w:tcPr/>
          <w:p>
            <w:pPr>
              <w:pStyle w:val="Compact"/>
            </w:pPr>
            <w:r>
              <w:t xml:space="preserve">10:00 h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Hora de termo</w:t>
            </w:r>
          </w:p>
        </w:tc>
        <w:tc>
          <w:tcPr/>
          <w:p>
            <w:pPr>
              <w:pStyle w:val="Compact"/>
            </w:pPr>
            <w:r>
              <w:t xml:space="preserve">12:30 h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Local</w:t>
            </w:r>
          </w:p>
        </w:tc>
        <w:tc>
          <w:tcPr/>
          <w:p>
            <w:pPr>
              <w:pStyle w:val="Compact"/>
            </w:pPr>
            <w:r>
              <w:t xml:space="preserve">Sede da</w:t>
            </w:r>
            <w:r>
              <w:t xml:space="preserve"> </w:t>
            </w:r>
            <w:r>
              <w:rPr>
                <w:b/>
                <w:bCs/>
              </w:rPr>
              <w:t xml:space="preserve">Empresa de Arrendamento Comercial, Lda.</w:t>
            </w:r>
            <w:r>
              <w:t xml:space="preserve">, Sala de Reuniões – Rua da Boavista, nº 45, 5.º andar, 1050‑067 Lisboa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Presenças</w:t>
            </w:r>
          </w:p>
        </w:tc>
        <w:tc>
          <w:tcPr/>
          <w:p>
            <w:pPr>
              <w:pStyle w:val="Compact"/>
            </w:pPr>
            <w:r>
              <w:t xml:space="preserve">•</w:t>
            </w:r>
            <w:r>
              <w:t xml:space="preserve"> </w:t>
            </w:r>
            <w:r>
              <w:rPr>
                <w:b/>
                <w:bCs/>
              </w:rPr>
              <w:t xml:space="preserve">Sr. Carlos Mendes</w:t>
            </w:r>
            <w:r>
              <w:t xml:space="preserve">, Administrador da Empresa de Arrendamento Comercial, Lda. (representante legal)</w:t>
            </w:r>
            <w:r>
              <w:t xml:space="preserve"> </w:t>
            </w:r>
            <w:r>
              <w:t xml:space="preserve">•</w:t>
            </w:r>
            <w:r>
              <w:t xml:space="preserve"> </w:t>
            </w:r>
            <w:r>
              <w:rPr>
                <w:b/>
                <w:bCs/>
              </w:rPr>
              <w:t xml:space="preserve">Dra. Ana Martins</w:t>
            </w:r>
            <w:r>
              <w:t xml:space="preserve">, Advogada – Ordem dos Advogados nº 12345 (mandatária)</w:t>
            </w:r>
            <w:r>
              <w:t xml:space="preserve"> </w:t>
            </w:r>
            <w:r>
              <w:t xml:space="preserve">•</w:t>
            </w:r>
            <w:r>
              <w:t xml:space="preserve"> </w:t>
            </w:r>
            <w:r>
              <w:rPr>
                <w:b/>
                <w:bCs/>
              </w:rPr>
              <w:t xml:space="preserve">Dr. Luís Pereira</w:t>
            </w:r>
            <w:r>
              <w:t xml:space="preserve">, Advogado – Ordem dos Advogados nº 67890 (mandatário)</w:t>
            </w:r>
            <w:r>
              <w:t xml:space="preserve"> </w:t>
            </w:r>
            <w:r>
              <w:t xml:space="preserve">•</w:t>
            </w:r>
            <w:r>
              <w:t xml:space="preserve"> </w:t>
            </w:r>
            <w:r>
              <w:rPr>
                <w:b/>
                <w:bCs/>
              </w:rPr>
              <w:t xml:space="preserve">Sra. Marta Ribeiro</w:t>
            </w:r>
            <w:r>
              <w:t xml:space="preserve">, Contabilista (consultora financeira)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Ausências justificadas</w:t>
            </w:r>
          </w:p>
        </w:tc>
        <w:tc>
          <w:tcPr/>
          <w:p>
            <w:pPr>
              <w:pStyle w:val="Compact"/>
            </w:pPr>
            <w:r>
              <w:t xml:space="preserve">–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Secretário da reunião</w:t>
            </w:r>
          </w:p>
        </w:tc>
        <w:tc>
          <w:tcPr/>
          <w:p>
            <w:pPr>
              <w:pStyle w:val="Compact"/>
            </w:pPr>
            <w:r>
              <w:t xml:space="preserve">Dr. Luís Pereira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9"/>
    <w:bookmarkStart w:id="10" w:name="ordem-de-trabalhos"/>
    <w:p>
      <w:pPr>
        <w:pStyle w:val="Heading3"/>
      </w:pPr>
      <w:r>
        <w:t xml:space="preserve">2. Ordem de Trabalhos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Abertura da reunião e verificação de quorum</w:t>
      </w:r>
      <w:r>
        <w:t xml:space="preserve">;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Revisão dos resultados obtidos até à presente data no âmbito do processo de despejo</w:t>
      </w:r>
      <w:r>
        <w:t xml:space="preserve">;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Análise das despesas incorridas e das receitas previstas (rendas em dívida, juros, indemnizações)</w:t>
      </w:r>
      <w:r>
        <w:t xml:space="preserve">;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Discussão das obras realizadas pelo arrendatário sem autorização e da respetiva indemnização</w:t>
      </w:r>
      <w:r>
        <w:t xml:space="preserve">;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Definição dos próximos passos processuais e estratégicos</w:t>
      </w:r>
      <w:r>
        <w:t xml:space="preserve">;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Fixação da data da próxima reunião de acompanhamento</w:t>
      </w:r>
      <w:r>
        <w:t xml:space="preserve">;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Encerramento</w:t>
      </w:r>
      <w:r>
        <w:t xml:space="preserve">.</w:t>
      </w:r>
    </w:p>
    <w:p>
      <w:r>
        <w:pict>
          <v:rect style="width:0;height:1.5pt" o:hralign="center" o:hrstd="t" o:hr="t"/>
        </w:pict>
      </w:r>
    </w:p>
    <w:bookmarkEnd w:id="10"/>
    <w:bookmarkStart w:id="17" w:name="desenvolvimento-da-reunião"/>
    <w:p>
      <w:pPr>
        <w:pStyle w:val="Heading3"/>
      </w:pPr>
      <w:r>
        <w:t xml:space="preserve">3. Desenvolvimento da Reunião</w:t>
      </w:r>
    </w:p>
    <w:bookmarkStart w:id="11" w:name="abertura"/>
    <w:p>
      <w:pPr>
        <w:pStyle w:val="Heading4"/>
      </w:pPr>
      <w:r>
        <w:t xml:space="preserve">3.1. Abertura</w:t>
      </w:r>
    </w:p>
    <w:p>
      <w:pPr>
        <w:pStyle w:val="FirstParagraph"/>
      </w:pPr>
      <w:r>
        <w:t xml:space="preserve">A reunião foi aberta pelo Sr. Carlos Mendes, que constatou a presença de todos os participantes e declarou a reunião válida para deliberação. O Dr. Luís Pereira assumiu a função de secretário.</w:t>
      </w:r>
    </w:p>
    <w:bookmarkEnd w:id="11"/>
    <w:bookmarkStart w:id="12" w:name="revisão-dos-resultados-processuais"/>
    <w:p>
      <w:pPr>
        <w:pStyle w:val="Heading4"/>
      </w:pPr>
      <w:r>
        <w:t xml:space="preserve">3.2. Revisão dos Resultados Processuais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Situação atual do processo:</w:t>
      </w:r>
      <w:r>
        <w:t xml:space="preserve"> </w:t>
      </w:r>
      <w:r>
        <w:t xml:space="preserve">O processo tramita na</w:t>
      </w:r>
      <w:r>
        <w:t xml:space="preserve"> </w:t>
      </w:r>
      <w:r>
        <w:rPr>
          <w:b/>
          <w:bCs/>
        </w:rPr>
        <w:t xml:space="preserve">Vara Cível da Comarca de Lisboa</w:t>
      </w:r>
      <w:r>
        <w:t xml:space="preserve">, sob a presidência do</w:t>
      </w:r>
      <w:r>
        <w:t xml:space="preserve"> </w:t>
      </w:r>
      <w:r>
        <w:rPr>
          <w:b/>
          <w:bCs/>
        </w:rPr>
        <w:t xml:space="preserve">Juiz de Direito Dr. Miguel Alves</w:t>
      </w:r>
      <w:r>
        <w:t xml:space="preserve">. Até à data foram apresentadas a</w:t>
      </w:r>
      <w:r>
        <w:t xml:space="preserve"> </w:t>
      </w:r>
      <w:r>
        <w:rPr>
          <w:b/>
          <w:bCs/>
        </w:rPr>
        <w:t xml:space="preserve">Petição Inicial</w:t>
      </w:r>
      <w:r>
        <w:t xml:space="preserve"> </w:t>
      </w:r>
      <w:r>
        <w:t xml:space="preserve">(15 de janeiro de 2024), a</w:t>
      </w:r>
      <w:r>
        <w:t xml:space="preserve"> </w:t>
      </w:r>
      <w:r>
        <w:rPr>
          <w:b/>
          <w:bCs/>
        </w:rPr>
        <w:t xml:space="preserve">Contestação</w:t>
      </w:r>
      <w:r>
        <w:t xml:space="preserve"> </w:t>
      </w:r>
      <w:r>
        <w:t xml:space="preserve">(12 de fevereiro de 2024) e a</w:t>
      </w:r>
      <w:r>
        <w:t xml:space="preserve"> </w:t>
      </w:r>
      <w:r>
        <w:rPr>
          <w:b/>
          <w:bCs/>
        </w:rPr>
        <w:t xml:space="preserve">Contestação‑Reconvite</w:t>
      </w:r>
      <w:r>
        <w:t xml:space="preserve"> </w:t>
      </w:r>
      <w:r>
        <w:t xml:space="preserve">(23 de março de 2024). Foi proferida</w:t>
      </w:r>
      <w:r>
        <w:t xml:space="preserve"> </w:t>
      </w:r>
      <w:r>
        <w:rPr>
          <w:b/>
          <w:bCs/>
        </w:rPr>
        <w:t xml:space="preserve">Despacho de Condução ao Julgamento</w:t>
      </w:r>
      <w:r>
        <w:t xml:space="preserve"> </w:t>
      </w:r>
      <w:r>
        <w:t xml:space="preserve">em 10 de outubro de 2025, marcando a audiência de julgamento para 5 de março de 2026.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Resultados obtidos:</w:t>
      </w:r>
    </w:p>
    <w:p>
      <w:pPr>
        <w:pStyle w:val="Compact"/>
        <w:numPr>
          <w:ilvl w:val="1"/>
          <w:numId w:val="1003"/>
        </w:numPr>
      </w:pPr>
      <w:r>
        <w:rPr>
          <w:b/>
          <w:bCs/>
        </w:rPr>
        <w:t xml:space="preserve">Citação válida</w:t>
      </w:r>
      <w:r>
        <w:t xml:space="preserve"> </w:t>
      </w:r>
      <w:r>
        <w:t xml:space="preserve">do réu, comprovada pelo despacho de 20 de janeiro de 2024;</w:t>
      </w:r>
      <w:r>
        <w:br/>
      </w:r>
    </w:p>
    <w:p>
      <w:pPr>
        <w:pStyle w:val="Compact"/>
        <w:numPr>
          <w:ilvl w:val="1"/>
          <w:numId w:val="1003"/>
        </w:numPr>
      </w:pPr>
      <w:r>
        <w:rPr>
          <w:b/>
          <w:bCs/>
        </w:rPr>
        <w:t xml:space="preserve">Reconhecimento judicial</w:t>
      </w:r>
      <w:r>
        <w:t xml:space="preserve"> </w:t>
      </w:r>
      <w:r>
        <w:t xml:space="preserve">da caducidade do contrato, nos termos do art. 1092.º do Código Civil, em decisão interlocutória de 2 de novembro de 2025;</w:t>
      </w:r>
      <w:r>
        <w:br/>
      </w:r>
    </w:p>
    <w:p>
      <w:pPr>
        <w:pStyle w:val="Compact"/>
        <w:numPr>
          <w:ilvl w:val="1"/>
          <w:numId w:val="1003"/>
        </w:numPr>
      </w:pPr>
      <w:r>
        <w:rPr>
          <w:b/>
          <w:bCs/>
        </w:rPr>
        <w:t xml:space="preserve">Juros de mora</w:t>
      </w:r>
      <w:r>
        <w:t xml:space="preserve"> </w:t>
      </w:r>
      <w:r>
        <w:t xml:space="preserve">calculados até à data da sentença, totalizando</w:t>
      </w:r>
      <w:r>
        <w:t xml:space="preserve"> </w:t>
      </w:r>
      <w:r>
        <w:rPr>
          <w:b/>
          <w:bCs/>
        </w:rPr>
        <w:t xml:space="preserve">€ 9 860,00</w:t>
      </w:r>
      <w:r>
        <w:t xml:space="preserve"> </w:t>
      </w:r>
      <w:r>
        <w:t xml:space="preserve">(taxa legal de 4 % ao ano, aplicável a partir de 1 de julho de 2023).</w:t>
      </w:r>
    </w:p>
    <w:bookmarkEnd w:id="12"/>
    <w:bookmarkStart w:id="13" w:name="análise-das-despesas-e-receitas"/>
    <w:p>
      <w:pPr>
        <w:pStyle w:val="Heading4"/>
      </w:pPr>
      <w:r>
        <w:t xml:space="preserve">3.3. Análise das Despesas e Receitas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Descrição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Valor (€)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Rendas em dívida (8 meses)</w:t>
            </w:r>
          </w:p>
        </w:tc>
        <w:tc>
          <w:tcPr/>
          <w:p>
            <w:pPr>
              <w:pStyle w:val="Compact"/>
            </w:pPr>
            <w:r>
              <w:t xml:space="preserve">48 000,00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Juros de mora (até 5 de março de 2026)</w:t>
            </w:r>
          </w:p>
        </w:tc>
        <w:tc>
          <w:tcPr/>
          <w:p>
            <w:pPr>
              <w:pStyle w:val="Compact"/>
            </w:pPr>
            <w:r>
              <w:t xml:space="preserve">9 860,00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Custos de notificação e diligências</w:t>
            </w:r>
          </w:p>
        </w:tc>
        <w:tc>
          <w:tcPr/>
          <w:p>
            <w:pPr>
              <w:pStyle w:val="Compact"/>
            </w:pPr>
            <w:r>
              <w:t xml:space="preserve">1 250,00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Honorários advocatícios (cota fixa)</w:t>
            </w:r>
          </w:p>
        </w:tc>
        <w:tc>
          <w:tcPr/>
          <w:p>
            <w:pPr>
              <w:pStyle w:val="Compact"/>
            </w:pPr>
            <w:r>
              <w:t xml:space="preserve">7 500,00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Indemnização por obras não autorizadas*</w:t>
            </w:r>
          </w:p>
        </w:tc>
        <w:tc>
          <w:tcPr/>
          <w:p>
            <w:pPr>
              <w:pStyle w:val="Compact"/>
            </w:pPr>
            <w:r>
              <w:t xml:space="preserve">12 340,00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Total a requerer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78 950,00</w:t>
            </w:r>
          </w:p>
        </w:tc>
      </w:tr>
    </w:tbl>
    <w:p>
      <w:pPr>
        <w:pStyle w:val="BodyText"/>
      </w:pPr>
      <w:r>
        <w:t xml:space="preserve">*As obras consistiram na instalação de um sistema de climatização e na modificação da fachada interior, realizadas sem prévia autorização escrita do senhorio, conforme laudos periciais anexos (proc. nº 2026/0012).</w:t>
      </w:r>
    </w:p>
    <w:p>
      <w:pPr>
        <w:pStyle w:val="BodyText"/>
      </w:pPr>
      <w:r>
        <w:t xml:space="preserve">A Sra. Marta Ribeiro apresentou o fluxo de caixa projetado, confirmando que a quantia total a requerer cobre integralmente as dívidas pendentes e assegura a manutenção das operações da empresa durante o período de despejo.</w:t>
      </w:r>
    </w:p>
    <w:bookmarkEnd w:id="13"/>
    <w:bookmarkStart w:id="14" w:name="discussão-das-obras-não-autorizadas"/>
    <w:p>
      <w:pPr>
        <w:pStyle w:val="Heading4"/>
      </w:pPr>
      <w:r>
        <w:t xml:space="preserve">3.4. Discussão das Obras Não Autorizadas</w:t>
      </w:r>
    </w:p>
    <w:p>
      <w:pPr>
        <w:pStyle w:val="FirstParagraph"/>
      </w:pPr>
      <w:r>
        <w:t xml:space="preserve">Foi acordado que a</w:t>
      </w:r>
      <w:r>
        <w:t xml:space="preserve"> </w:t>
      </w:r>
      <w:r>
        <w:rPr>
          <w:b/>
          <w:bCs/>
        </w:rPr>
        <w:t xml:space="preserve">indemnização por obras</w:t>
      </w:r>
      <w:r>
        <w:t xml:space="preserve"> </w:t>
      </w:r>
      <w:r>
        <w:t xml:space="preserve">será calculada com base no custo real de reposição ao estado anterior, acrescido de 10 % por danos emergentes, conforme preconizado no art. 1079.º do Código Civil. O valor proposto de</w:t>
      </w:r>
      <w:r>
        <w:t xml:space="preserve"> </w:t>
      </w:r>
      <w:r>
        <w:rPr>
          <w:b/>
          <w:bCs/>
        </w:rPr>
        <w:t xml:space="preserve">€ 12 340,00</w:t>
      </w:r>
      <w:r>
        <w:t xml:space="preserve"> </w:t>
      </w:r>
      <w:r>
        <w:t xml:space="preserve">foi considerado adequado pelos mandatários.</w:t>
      </w:r>
    </w:p>
    <w:bookmarkEnd w:id="14"/>
    <w:bookmarkStart w:id="15" w:name="definição-dos-próximos-passos"/>
    <w:p>
      <w:pPr>
        <w:pStyle w:val="Heading4"/>
      </w:pPr>
      <w:r>
        <w:t xml:space="preserve">3.5. Definição dos Próximos Passos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Protocolo da petição de execução</w:t>
      </w:r>
      <w:r>
        <w:t xml:space="preserve"> </w:t>
      </w:r>
      <w:r>
        <w:t xml:space="preserve">(citação de dívida e pedido de despejo) a ser apresentado até</w:t>
      </w:r>
      <w:r>
        <w:t xml:space="preserve"> </w:t>
      </w:r>
      <w:r>
        <w:rPr>
          <w:b/>
          <w:bCs/>
        </w:rPr>
        <w:t xml:space="preserve">15 de março de 2026</w:t>
      </w:r>
      <w:r>
        <w:t xml:space="preserve">;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Requerimento de penhora de bens</w:t>
      </w:r>
      <w:r>
        <w:t xml:space="preserve"> </w:t>
      </w:r>
      <w:r>
        <w:t xml:space="preserve">do réu, com prioridade sobre o imóvel arrendado, a ser interposto no mesmo prazo;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Solicitação de tutela de urgência</w:t>
      </w:r>
      <w:r>
        <w:t xml:space="preserve"> </w:t>
      </w:r>
      <w:r>
        <w:t xml:space="preserve">para impedir nova ocupação do imóvel até à decisão final;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Emissão de ofício ao condomínio</w:t>
      </w:r>
      <w:r>
        <w:t xml:space="preserve"> </w:t>
      </w:r>
      <w:r>
        <w:t xml:space="preserve">informando a intenção de despejo e solicitando cooperação para a entrega das chaves;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Preparação de relatório pericial final</w:t>
      </w:r>
      <w:r>
        <w:t xml:space="preserve"> </w:t>
      </w:r>
      <w:r>
        <w:t xml:space="preserve">sobre as obras, a ser concluído até</w:t>
      </w:r>
      <w:r>
        <w:t xml:space="preserve"> </w:t>
      </w:r>
      <w:r>
        <w:rPr>
          <w:b/>
          <w:bCs/>
        </w:rPr>
        <w:t xml:space="preserve">30 de março de 2026</w:t>
      </w:r>
      <w:r>
        <w:t xml:space="preserve">;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Acompanhamento da cobrança dos juros</w:t>
      </w:r>
      <w:r>
        <w:t xml:space="preserve"> </w:t>
      </w:r>
      <w:r>
        <w:t xml:space="preserve">mediante requerimento de atualização monetária mensal.</w:t>
      </w:r>
    </w:p>
    <w:bookmarkEnd w:id="15"/>
    <w:bookmarkStart w:id="16" w:name="fixação-da-próxima-reunião"/>
    <w:p>
      <w:pPr>
        <w:pStyle w:val="Heading4"/>
      </w:pPr>
      <w:r>
        <w:t xml:space="preserve">3.6. Fixação da Próxima Reunião</w:t>
      </w:r>
    </w:p>
    <w:p>
      <w:pPr>
        <w:pStyle w:val="FirstParagraph"/>
      </w:pPr>
      <w:r>
        <w:t xml:space="preserve">Ficou acordado que a próxima reunião de acompanhamento terá lugar em</w:t>
      </w:r>
      <w:r>
        <w:t xml:space="preserve"> </w:t>
      </w:r>
      <w:r>
        <w:rPr>
          <w:b/>
          <w:bCs/>
        </w:rPr>
        <w:t xml:space="preserve">10 de abril de 2026</w:t>
      </w:r>
      <w:r>
        <w:t xml:space="preserve">, pelas 10:00 h, nas mesmas instalações, para revisão do andamento dos pedidos de execução e das diligências de penhora.</w:t>
      </w:r>
    </w:p>
    <w:p>
      <w:r>
        <w:pict>
          <v:rect style="width:0;height:1.5pt" o:hralign="center" o:hrstd="t" o:hr="t"/>
        </w:pict>
      </w:r>
    </w:p>
    <w:bookmarkEnd w:id="16"/>
    <w:bookmarkEnd w:id="17"/>
    <w:bookmarkStart w:id="18" w:name="decisões-e-deliberações"/>
    <w:p>
      <w:pPr>
        <w:pStyle w:val="Heading3"/>
      </w:pPr>
      <w:r>
        <w:t xml:space="preserve">4. Decisões e Deliberações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Deliberação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Decisão</w:t>
            </w:r>
          </w:p>
        </w:tc>
      </w:tr>
      <w:tr>
        <w:tc>
          <w:tcPr/>
          <w:p>
            <w:pPr>
              <w:pStyle w:val="Compact"/>
            </w:pPr>
            <w:r>
              <w:t xml:space="preserve">Aprovação do valor total a requerer (</w:t>
            </w:r>
            <w:r>
              <w:rPr>
                <w:b/>
                <w:bCs/>
              </w:rPr>
              <w:t xml:space="preserve">€ 78 950,00</w:t>
            </w:r>
            <w:r>
              <w:t xml:space="preserve">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Aprovado por unanimidade</w:t>
            </w:r>
          </w:p>
        </w:tc>
      </w:tr>
      <w:tr>
        <w:tc>
          <w:tcPr/>
          <w:p>
            <w:pPr>
              <w:pStyle w:val="Compact"/>
            </w:pPr>
            <w:r>
              <w:t xml:space="preserve">Autorização para interpor a petição de execução e o requerimento de penhora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Aprovado por unanimidade</w:t>
            </w:r>
          </w:p>
        </w:tc>
      </w:tr>
      <w:tr>
        <w:tc>
          <w:tcPr/>
          <w:p>
            <w:pPr>
              <w:pStyle w:val="Compact"/>
            </w:pPr>
            <w:r>
              <w:t xml:space="preserve">Confirmação do cálculo da indemnização por obras não autorizadas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Aprovado por unanimidade</w:t>
            </w:r>
          </w:p>
        </w:tc>
      </w:tr>
      <w:tr>
        <w:tc>
          <w:tcPr/>
          <w:p>
            <w:pPr>
              <w:pStyle w:val="Compact"/>
            </w:pPr>
            <w:r>
              <w:t xml:space="preserve">Designação da data da próxima reunião (10/04/2026)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Aprovado por unanimidade</w:t>
            </w:r>
          </w:p>
        </w:tc>
      </w:tr>
      <w:tr>
        <w:tc>
          <w:tcPr/>
          <w:p>
            <w:pPr>
              <w:pStyle w:val="Compact"/>
            </w:pPr>
            <w:r>
              <w:t xml:space="preserve">Delegação de poderes ao Dr. Luís Pereira para assinatura dos documentos de execução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Aprovado por unanimidade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8"/>
    <w:bookmarkStart w:id="19" w:name="encerramento"/>
    <w:p>
      <w:pPr>
        <w:pStyle w:val="Heading3"/>
      </w:pPr>
      <w:r>
        <w:t xml:space="preserve">5. Encerramento</w:t>
      </w:r>
    </w:p>
    <w:p>
      <w:pPr>
        <w:pStyle w:val="FirstParagraph"/>
      </w:pPr>
      <w:r>
        <w:t xml:space="preserve">Nada mais havendo a tratar, o Sr. Carlos Mendes deu por encerrada a reunião às</w:t>
      </w:r>
      <w:r>
        <w:t xml:space="preserve"> </w:t>
      </w:r>
      <w:r>
        <w:rPr>
          <w:b/>
          <w:bCs/>
        </w:rPr>
        <w:t xml:space="preserve">12:30 h</w:t>
      </w:r>
      <w:r>
        <w:t xml:space="preserve">, agradecendo a presença e a colaboração de todos os intervenientes.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Lisboa, 12 de fevereiro de 2026</w:t>
      </w:r>
    </w:p>
    <w:p>
      <w:pPr>
        <w:pStyle w:val="BodyText"/>
      </w:pPr>
      <w:r>
        <w:t xml:space="preserve">_______________________________ | _______________________________ |</w:t>
      </w:r>
      <w:r>
        <w:br/>
      </w:r>
      <w:r>
        <w:rPr>
          <w:b/>
          <w:bCs/>
        </w:rPr>
        <w:t xml:space="preserve">Carlos Mendes</w:t>
      </w:r>
      <w:r>
        <w:t xml:space="preserve"> </w:t>
      </w:r>
      <w:r>
        <w:t xml:space="preserve"> </w:t>
      </w:r>
      <w:r>
        <w:t xml:space="preserve">Administrador – Empresa de Arrendamento Comercial, Lda. |</w:t>
      </w:r>
      <w:r>
        <w:t xml:space="preserve"> </w:t>
      </w:r>
      <w:r>
        <w:rPr>
          <w:b/>
          <w:bCs/>
        </w:rPr>
        <w:t xml:space="preserve">Dr. Luís Pereira</w:t>
      </w:r>
      <w:r>
        <w:t xml:space="preserve"> </w:t>
      </w:r>
      <w:r>
        <w:t xml:space="preserve"> </w:t>
      </w:r>
      <w:r>
        <w:t xml:space="preserve">Advogado – OA 67890 |</w:t>
      </w:r>
      <w:r>
        <w:br/>
      </w:r>
      <w:r>
        <w:rPr>
          <w:b/>
          <w:bCs/>
        </w:rPr>
        <w:t xml:space="preserve">Dra. Ana Martins</w:t>
      </w:r>
      <w:r>
        <w:t xml:space="preserve"> </w:t>
      </w:r>
      <w:r>
        <w:t xml:space="preserve"> </w:t>
      </w:r>
      <w:r>
        <w:t xml:space="preserve">Advogada – OA 12345 |</w:t>
      </w:r>
      <w:r>
        <w:t xml:space="preserve"> </w:t>
      </w:r>
      <w:r>
        <w:rPr>
          <w:b/>
          <w:bCs/>
        </w:rPr>
        <w:t xml:space="preserve">Sra. Marta Ribeiro</w:t>
      </w:r>
      <w:r>
        <w:t xml:space="preserve"> </w:t>
      </w:r>
      <w:r>
        <w:t xml:space="preserve"> </w:t>
      </w:r>
      <w:r>
        <w:t xml:space="preserve">Contabilista |</w:t>
      </w:r>
    </w:p>
    <w:bookmarkEnd w:id="19"/>
    <w:bookmarkEnd w:id="20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2026-02-22T19:19:51Z</dcterms:created>
  <dcterms:modified xsi:type="dcterms:W3CDTF">2026-02-22T19:19:51Z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